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/>
          <w:b/>
          <w:bCs/>
          <w:sz w:val="32"/>
          <w:szCs w:val="32"/>
          <w:lang w:val="en-US" w:eastAsia="zh-CN"/>
        </w:rPr>
      </w:pPr>
      <w:r>
        <w:rPr>
          <w:rFonts w:hint="eastAsia"/>
          <w:b/>
          <w:bCs/>
          <w:sz w:val="32"/>
          <w:szCs w:val="32"/>
          <w:lang w:val="en-US" w:eastAsia="zh-CN"/>
        </w:rPr>
        <w:t>网银助手的下载及安装</w:t>
      </w:r>
    </w:p>
    <w:p>
      <w:pPr>
        <w:jc w:val="center"/>
        <w:rPr>
          <w:rFonts w:hint="eastAsia"/>
          <w:b/>
          <w:bCs/>
          <w:sz w:val="32"/>
          <w:szCs w:val="32"/>
          <w:lang w:val="en-US" w:eastAsia="zh-CN"/>
        </w:rPr>
      </w:pPr>
    </w:p>
    <w:p>
      <w:pPr>
        <w:numPr>
          <w:ilvl w:val="0"/>
          <w:numId w:val="1"/>
        </w:numPr>
        <w:jc w:val="both"/>
        <w:rPr>
          <w:rFonts w:hint="eastAsia"/>
          <w:b/>
          <w:bCs/>
          <w:sz w:val="32"/>
          <w:szCs w:val="32"/>
          <w:lang w:val="en-US" w:eastAsia="zh-CN"/>
        </w:rPr>
      </w:pPr>
      <w:r>
        <w:rPr>
          <w:rFonts w:hint="eastAsia"/>
          <w:b/>
          <w:bCs/>
          <w:sz w:val="32"/>
          <w:szCs w:val="32"/>
          <w:lang w:val="en-US" w:eastAsia="zh-CN"/>
        </w:rPr>
        <w:t>进入新疆汇和银行官网：</w:t>
      </w:r>
    </w:p>
    <w:p>
      <w:pPr>
        <w:numPr>
          <w:ilvl w:val="0"/>
          <w:numId w:val="0"/>
        </w:numPr>
        <w:jc w:val="both"/>
        <w:rPr>
          <w:rFonts w:hint="eastAsia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  <w:lang w:val="en-US" w:eastAsia="zh-CN"/>
        </w:rPr>
        <w:t>方法一：</w:t>
      </w:r>
    </w:p>
    <w:p>
      <w:pPr>
        <w:numPr>
          <w:ilvl w:val="0"/>
          <w:numId w:val="2"/>
        </w:numPr>
        <w:ind w:left="425" w:leftChars="0" w:hanging="425" w:firstLineChars="0"/>
        <w:jc w:val="both"/>
        <w:rPr>
          <w:rFonts w:hint="eastAsia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  <w:lang w:val="en-US" w:eastAsia="zh-CN"/>
        </w:rPr>
        <w:t>打开浏览器（建议使用IE、360），搜索“新疆汇和银行”：</w:t>
      </w:r>
    </w:p>
    <w:p>
      <w:pPr>
        <w:jc w:val="center"/>
        <w:rPr>
          <w:rFonts w:hint="eastAsia"/>
          <w:sz w:val="32"/>
          <w:szCs w:val="32"/>
          <w:lang w:val="en-US" w:eastAsia="zh-CN"/>
        </w:rPr>
      </w:pPr>
      <w:r>
        <w:rPr>
          <w:sz w:val="32"/>
          <w:szCs w:val="32"/>
        </w:rPr>
        <w:drawing>
          <wp:inline distT="0" distB="0" distL="114300" distR="114300">
            <wp:extent cx="5271770" cy="659130"/>
            <wp:effectExtent l="0" t="0" r="5080" b="762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6591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2"/>
        </w:numPr>
        <w:ind w:left="425" w:leftChars="0" w:hanging="425" w:firstLineChars="0"/>
        <w:jc w:val="both"/>
        <w:rPr>
          <w:rFonts w:hint="eastAsia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  <w:lang w:val="en-US" w:eastAsia="zh-CN"/>
        </w:rPr>
        <w:t>选择“新疆汇和银行-官方网站”：</w:t>
      </w:r>
    </w:p>
    <w:p>
      <w:pPr>
        <w:jc w:val="center"/>
        <w:rPr>
          <w:rFonts w:hint="eastAsia"/>
          <w:sz w:val="32"/>
          <w:szCs w:val="32"/>
          <w:lang w:val="en-US" w:eastAsia="zh-CN"/>
        </w:rPr>
      </w:pPr>
      <w:r>
        <w:rPr>
          <w:sz w:val="32"/>
          <w:szCs w:val="32"/>
        </w:rPr>
        <w:drawing>
          <wp:inline distT="0" distB="0" distL="114300" distR="114300">
            <wp:extent cx="5034280" cy="3802380"/>
            <wp:effectExtent l="0" t="0" r="13970" b="762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034280" cy="38023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both"/>
        <w:rPr>
          <w:rFonts w:hint="eastAsia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  <w:lang w:val="en-US" w:eastAsia="zh-CN"/>
        </w:rPr>
        <w:t>方法二：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640" w:firstLineChars="200"/>
        <w:jc w:val="both"/>
        <w:textAlignment w:val="auto"/>
        <w:outlineLvl w:val="9"/>
        <w:rPr>
          <w:rFonts w:hint="eastAsia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  <w:lang w:val="en-US" w:eastAsia="zh-CN"/>
        </w:rPr>
        <w:t>输入我行官方网站网址www.bohuihe.com：</w:t>
      </w:r>
    </w:p>
    <w:p>
      <w:pPr>
        <w:jc w:val="center"/>
        <w:rPr>
          <w:rFonts w:hint="eastAsia"/>
          <w:sz w:val="32"/>
          <w:szCs w:val="32"/>
          <w:lang w:val="en-US" w:eastAsia="zh-CN"/>
        </w:rPr>
      </w:pPr>
      <w:r>
        <w:rPr>
          <w:sz w:val="32"/>
          <w:szCs w:val="32"/>
        </w:rPr>
        <w:drawing>
          <wp:inline distT="0" distB="0" distL="114300" distR="114300">
            <wp:extent cx="3714115" cy="809625"/>
            <wp:effectExtent l="0" t="0" r="635" b="952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714115" cy="8096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ind w:left="0" w:leftChars="0" w:firstLine="0" w:firstLineChars="0"/>
        <w:jc w:val="left"/>
        <w:rPr>
          <w:rFonts w:hint="eastAsia"/>
          <w:b/>
          <w:bCs/>
          <w:sz w:val="32"/>
          <w:szCs w:val="32"/>
          <w:lang w:eastAsia="zh-CN"/>
        </w:rPr>
      </w:pPr>
      <w:r>
        <w:rPr>
          <w:rFonts w:hint="eastAsia"/>
          <w:b/>
          <w:bCs/>
          <w:sz w:val="32"/>
          <w:szCs w:val="32"/>
          <w:lang w:eastAsia="zh-CN"/>
        </w:rPr>
        <w:t>网银助手的下载：</w:t>
      </w:r>
    </w:p>
    <w:p>
      <w:pPr>
        <w:numPr>
          <w:ilvl w:val="0"/>
          <w:numId w:val="0"/>
        </w:numPr>
        <w:jc w:val="both"/>
        <w:rPr>
          <w:rFonts w:hint="eastAsia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  <w:lang w:val="en-US" w:eastAsia="zh-CN"/>
        </w:rPr>
        <w:t>方法一：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640" w:firstLineChars="200"/>
        <w:jc w:val="left"/>
        <w:textAlignment w:val="auto"/>
        <w:outlineLvl w:val="9"/>
        <w:rPr>
          <w:rFonts w:hint="eastAsia" w:asciiTheme="minorHAnsi" w:hAnsiTheme="minorHAnsi" w:eastAsiaTheme="minorEastAsia" w:cstheme="minorBidi"/>
          <w:kern w:val="2"/>
          <w:sz w:val="32"/>
          <w:szCs w:val="32"/>
          <w:lang w:val="en-US" w:eastAsia="zh-CN" w:bidi="ar-SA"/>
        </w:rPr>
      </w:pPr>
      <w:r>
        <w:rPr>
          <w:rFonts w:hint="eastAsia" w:cstheme="minorBidi"/>
          <w:kern w:val="2"/>
          <w:sz w:val="32"/>
          <w:szCs w:val="32"/>
          <w:lang w:val="en-US" w:eastAsia="zh-CN" w:bidi="ar-SA"/>
        </w:rPr>
        <w:t>我行官网左侧“个人网银登录”下方点击“网银助手下载”，界面弹出“你想打开或保存此文件吗？”，点击：“打开”：</w:t>
      </w:r>
    </w:p>
    <w:p>
      <w:pPr>
        <w:numPr>
          <w:ilvl w:val="0"/>
          <w:numId w:val="0"/>
        </w:numPr>
        <w:jc w:val="center"/>
        <w:rPr>
          <w:rFonts w:hint="eastAsia"/>
          <w:sz w:val="32"/>
          <w:szCs w:val="32"/>
          <w:lang w:val="en-US" w:eastAsia="zh-CN"/>
        </w:rPr>
      </w:pPr>
      <w:r>
        <w:rPr>
          <w:sz w:val="32"/>
          <w:szCs w:val="32"/>
        </w:rPr>
        <w:drawing>
          <wp:inline distT="0" distB="0" distL="114300" distR="114300">
            <wp:extent cx="5265420" cy="2513965"/>
            <wp:effectExtent l="0" t="0" r="11430" b="63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5139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center"/>
        <w:rPr>
          <w:rFonts w:hint="eastAsia"/>
          <w:sz w:val="32"/>
          <w:szCs w:val="32"/>
          <w:lang w:val="en-US" w:eastAsia="zh-CN"/>
        </w:rPr>
      </w:pPr>
      <w:r>
        <w:rPr>
          <w:sz w:val="32"/>
          <w:szCs w:val="32"/>
        </w:rPr>
        <w:drawing>
          <wp:inline distT="0" distB="0" distL="114300" distR="114300">
            <wp:extent cx="4028440" cy="2856865"/>
            <wp:effectExtent l="0" t="0" r="10160" b="63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028440" cy="28568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both"/>
        <w:rPr>
          <w:rFonts w:hint="eastAsia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  <w:lang w:val="en-US" w:eastAsia="zh-CN"/>
        </w:rPr>
        <w:t>方法二：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640" w:firstLineChars="200"/>
        <w:jc w:val="left"/>
        <w:textAlignment w:val="auto"/>
        <w:outlineLvl w:val="9"/>
        <w:rPr>
          <w:rFonts w:hint="eastAsia"/>
          <w:sz w:val="32"/>
          <w:szCs w:val="32"/>
          <w:lang w:val="en-US" w:eastAsia="zh-CN"/>
        </w:rPr>
      </w:pPr>
      <w:r>
        <w:rPr>
          <w:rFonts w:hint="eastAsia" w:cstheme="minorBidi"/>
          <w:kern w:val="2"/>
          <w:sz w:val="32"/>
          <w:szCs w:val="32"/>
          <w:lang w:val="en-US" w:eastAsia="zh-CN" w:bidi="ar-SA"/>
        </w:rPr>
        <w:t>进入“电子银行”→“下载中心”→“新疆汇和银行网银助手”，界面弹出“你想打开或保存此文件吗？”，点击：“打开”：</w:t>
      </w:r>
    </w:p>
    <w:p>
      <w:pPr>
        <w:numPr>
          <w:ilvl w:val="0"/>
          <w:numId w:val="0"/>
        </w:numPr>
        <w:ind w:leftChars="0"/>
        <w:jc w:val="center"/>
        <w:rPr>
          <w:rFonts w:hint="eastAsia" w:asciiTheme="minorHAnsi" w:hAnsiTheme="minorHAnsi" w:eastAsiaTheme="minorEastAsia" w:cstheme="minorBidi"/>
          <w:kern w:val="2"/>
          <w:sz w:val="32"/>
          <w:szCs w:val="32"/>
          <w:lang w:val="en-US" w:eastAsia="zh-CN" w:bidi="ar-SA"/>
        </w:rPr>
      </w:pPr>
      <w:r>
        <w:rPr>
          <w:sz w:val="32"/>
          <w:szCs w:val="32"/>
        </w:rPr>
        <w:drawing>
          <wp:inline distT="0" distB="0" distL="114300" distR="114300">
            <wp:extent cx="5272405" cy="4269740"/>
            <wp:effectExtent l="0" t="0" r="4445" b="1651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42697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636"/>
        </w:tabs>
        <w:jc w:val="center"/>
        <w:rPr>
          <w:rFonts w:asciiTheme="minorHAnsi" w:hAnsiTheme="minorHAnsi" w:eastAsiaTheme="minorEastAsia" w:cstheme="minorBidi"/>
          <w:kern w:val="2"/>
          <w:sz w:val="32"/>
          <w:szCs w:val="32"/>
          <w:lang w:val="en-US" w:eastAsia="zh-CN" w:bidi="ar-SA"/>
        </w:rPr>
      </w:pPr>
      <w:r>
        <w:rPr>
          <w:sz w:val="32"/>
          <w:szCs w:val="32"/>
        </w:rPr>
        <w:drawing>
          <wp:inline distT="0" distB="0" distL="114300" distR="114300">
            <wp:extent cx="4028440" cy="2856865"/>
            <wp:effectExtent l="0" t="0" r="10160" b="63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028440" cy="28568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711"/>
        </w:tabs>
        <w:jc w:val="left"/>
        <w:rPr>
          <w:rFonts w:hint="eastAsia" w:asciiTheme="minorHAnsi" w:hAnsiTheme="minorHAnsi" w:eastAsiaTheme="minorEastAsia" w:cstheme="minorBidi"/>
          <w:b/>
          <w:bCs/>
          <w:kern w:val="2"/>
          <w:sz w:val="32"/>
          <w:szCs w:val="32"/>
          <w:lang w:val="en-US" w:eastAsia="zh-CN" w:bidi="ar-SA"/>
        </w:rPr>
      </w:pPr>
      <w:r>
        <w:rPr>
          <w:rFonts w:hint="eastAsia"/>
          <w:b/>
          <w:bCs/>
          <w:sz w:val="32"/>
          <w:szCs w:val="32"/>
          <w:lang w:val="en-US" w:eastAsia="zh-CN"/>
        </w:rPr>
        <w:t>三、网银助手的安装：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640" w:firstLineChars="200"/>
        <w:jc w:val="left"/>
        <w:textAlignment w:val="auto"/>
        <w:outlineLvl w:val="9"/>
        <w:rPr>
          <w:rFonts w:hint="eastAsia"/>
          <w:b w:val="0"/>
          <w:bCs w:val="0"/>
          <w:sz w:val="32"/>
          <w:szCs w:val="32"/>
          <w:lang w:val="en-US" w:eastAsia="zh-CN"/>
        </w:rPr>
      </w:pPr>
      <w:r>
        <w:rPr>
          <w:rFonts w:hint="eastAsia" w:cstheme="minorBidi"/>
          <w:b w:val="0"/>
          <w:bCs w:val="0"/>
          <w:kern w:val="2"/>
          <w:sz w:val="32"/>
          <w:szCs w:val="32"/>
          <w:lang w:val="en-US" w:eastAsia="zh-CN" w:bidi="ar-SA"/>
        </w:rPr>
        <w:t>双击“新疆汇和银行网银助手”，按照界面提示点击下一步，直至安装完成：</w:t>
      </w:r>
    </w:p>
    <w:p>
      <w:pPr>
        <w:tabs>
          <w:tab w:val="left" w:pos="636"/>
        </w:tabs>
        <w:jc w:val="center"/>
        <w:rPr>
          <w:sz w:val="32"/>
          <w:szCs w:val="32"/>
        </w:rPr>
      </w:pPr>
      <w:r>
        <w:rPr>
          <w:sz w:val="32"/>
          <w:szCs w:val="32"/>
        </w:rPr>
        <w:drawing>
          <wp:inline distT="0" distB="0" distL="114300" distR="114300">
            <wp:extent cx="5267325" cy="3456940"/>
            <wp:effectExtent l="0" t="0" r="9525" b="1016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4569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32"/>
          <w:szCs w:val="32"/>
        </w:rPr>
        <w:drawing>
          <wp:inline distT="0" distB="0" distL="114300" distR="114300">
            <wp:extent cx="5057140" cy="3685540"/>
            <wp:effectExtent l="0" t="0" r="10160" b="1016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057140" cy="36855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32"/>
          <w:szCs w:val="32"/>
        </w:rPr>
        <w:drawing>
          <wp:inline distT="0" distB="0" distL="114300" distR="114300">
            <wp:extent cx="5057140" cy="3685540"/>
            <wp:effectExtent l="0" t="0" r="10160" b="1016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057140" cy="36855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32"/>
          <w:szCs w:val="32"/>
        </w:rPr>
        <w:drawing>
          <wp:inline distT="0" distB="0" distL="114300" distR="114300">
            <wp:extent cx="5057140" cy="3685540"/>
            <wp:effectExtent l="0" t="0" r="10160" b="1016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057140" cy="36855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636"/>
        </w:tabs>
        <w:jc w:val="left"/>
        <w:rPr>
          <w:rFonts w:hint="eastAsia" w:asciiTheme="minorHAnsi" w:hAnsiTheme="minorHAnsi" w:eastAsiaTheme="minorEastAsia" w:cstheme="minorBidi"/>
          <w:b/>
          <w:bCs/>
          <w:kern w:val="2"/>
          <w:sz w:val="32"/>
          <w:szCs w:val="32"/>
          <w:lang w:val="en-US" w:eastAsia="zh-CN" w:bidi="ar-SA"/>
        </w:rPr>
      </w:pPr>
      <w:r>
        <w:rPr>
          <w:rFonts w:hint="eastAsia"/>
          <w:b/>
          <w:bCs/>
          <w:sz w:val="32"/>
          <w:szCs w:val="32"/>
          <w:lang w:eastAsia="zh-CN"/>
        </w:rPr>
        <w:t>四、网银助手的使用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640" w:firstLineChars="200"/>
        <w:jc w:val="left"/>
        <w:textAlignment w:val="auto"/>
        <w:outlineLvl w:val="9"/>
        <w:rPr>
          <w:rFonts w:hint="eastAsia"/>
          <w:b w:val="0"/>
          <w:bCs w:val="0"/>
          <w:sz w:val="32"/>
          <w:szCs w:val="32"/>
          <w:lang w:val="en-US" w:eastAsia="zh-CN"/>
        </w:rPr>
      </w:pPr>
      <w:r>
        <w:rPr>
          <w:rFonts w:hint="eastAsia" w:cstheme="minorBidi"/>
          <w:b w:val="0"/>
          <w:bCs w:val="0"/>
          <w:color w:val="FF0000"/>
          <w:kern w:val="2"/>
          <w:sz w:val="32"/>
          <w:szCs w:val="32"/>
          <w:lang w:val="en-US" w:eastAsia="zh-CN" w:bidi="ar-SA"/>
        </w:rPr>
        <w:t>网银助手安装完成后点击界面中“一键修复”按钮</w:t>
      </w:r>
      <w:r>
        <w:rPr>
          <w:rFonts w:hint="eastAsia" w:cstheme="minorBidi"/>
          <w:b w:val="0"/>
          <w:bCs w:val="0"/>
          <w:kern w:val="2"/>
          <w:sz w:val="32"/>
          <w:szCs w:val="32"/>
          <w:lang w:val="en-US" w:eastAsia="zh-CN" w:bidi="ar-SA"/>
        </w:rPr>
        <w:t>，界面显示“恭喜您，您的电脑已达到适应我行网上银行的最优环境配置，请你放心使用”后便可使用网上银行：</w:t>
      </w:r>
    </w:p>
    <w:p>
      <w:pPr>
        <w:tabs>
          <w:tab w:val="left" w:pos="636"/>
        </w:tabs>
        <w:jc w:val="center"/>
        <w:rPr>
          <w:sz w:val="32"/>
          <w:szCs w:val="32"/>
        </w:rPr>
      </w:pPr>
      <w:r>
        <w:rPr>
          <w:sz w:val="32"/>
          <w:szCs w:val="32"/>
        </w:rPr>
        <w:drawing>
          <wp:inline distT="0" distB="0" distL="114300" distR="114300">
            <wp:extent cx="5271770" cy="3485515"/>
            <wp:effectExtent l="0" t="0" r="5080" b="63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4855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32"/>
          <w:szCs w:val="32"/>
        </w:rPr>
        <w:drawing>
          <wp:inline distT="0" distB="0" distL="114300" distR="114300">
            <wp:extent cx="5271770" cy="3485515"/>
            <wp:effectExtent l="0" t="0" r="5080" b="63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4855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636"/>
        </w:tabs>
        <w:jc w:val="left"/>
        <w:rPr>
          <w:rFonts w:hint="eastAsia" w:asciiTheme="minorHAnsi" w:hAnsiTheme="minorHAnsi" w:eastAsiaTheme="minorEastAsia" w:cstheme="minorBidi"/>
          <w:kern w:val="2"/>
          <w:sz w:val="32"/>
          <w:szCs w:val="32"/>
          <w:lang w:val="en-US" w:eastAsia="zh-CN" w:bidi="ar-SA"/>
        </w:rPr>
      </w:pPr>
      <w:r>
        <w:rPr>
          <w:rFonts w:hint="eastAsia"/>
          <w:b/>
          <w:bCs/>
          <w:sz w:val="32"/>
          <w:szCs w:val="32"/>
          <w:lang w:eastAsia="zh-CN"/>
        </w:rPr>
        <w:t>五、网上银行的登录：</w:t>
      </w:r>
    </w:p>
    <w:p>
      <w:pPr>
        <w:keepNext w:val="0"/>
        <w:keepLines w:val="0"/>
        <w:pageBreakBefore w:val="0"/>
        <w:widowControl w:val="0"/>
        <w:tabs>
          <w:tab w:val="left" w:pos="673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640" w:firstLineChars="200"/>
        <w:jc w:val="left"/>
        <w:textAlignment w:val="auto"/>
        <w:outlineLvl w:val="9"/>
        <w:rPr>
          <w:rFonts w:hint="eastAsia"/>
          <w:sz w:val="32"/>
          <w:szCs w:val="32"/>
          <w:lang w:eastAsia="zh-CN"/>
        </w:rPr>
      </w:pPr>
      <w:r>
        <w:rPr>
          <w:rFonts w:hint="eastAsia"/>
          <w:sz w:val="32"/>
          <w:szCs w:val="32"/>
          <w:lang w:val="en-US" w:eastAsia="zh-CN"/>
        </w:rPr>
        <w:t>请先插入U盾，并确认登录网银界面正确显示客户号及登录名</w:t>
      </w:r>
      <w:r>
        <w:rPr>
          <w:rFonts w:hint="eastAsia"/>
          <w:sz w:val="32"/>
          <w:szCs w:val="32"/>
          <w:lang w:eastAsia="zh-CN"/>
        </w:rPr>
        <w:t>（个人网银显示登录名）后再使用网银</w:t>
      </w:r>
      <w:bookmarkStart w:id="0" w:name="_GoBack"/>
      <w:bookmarkEnd w:id="0"/>
      <w:r>
        <w:rPr>
          <w:rFonts w:hint="eastAsia"/>
          <w:sz w:val="32"/>
          <w:szCs w:val="32"/>
          <w:lang w:eastAsia="zh-CN"/>
        </w:rPr>
        <w:t>。</w:t>
      </w:r>
    </w:p>
    <w:p>
      <w:pPr>
        <w:tabs>
          <w:tab w:val="left" w:pos="673"/>
        </w:tabs>
        <w:jc w:val="center"/>
        <w:rPr>
          <w:sz w:val="32"/>
          <w:szCs w:val="32"/>
        </w:rPr>
      </w:pPr>
      <w:r>
        <w:rPr>
          <w:sz w:val="32"/>
          <w:szCs w:val="32"/>
        </w:rPr>
        <w:drawing>
          <wp:inline distT="0" distB="0" distL="114300" distR="114300">
            <wp:extent cx="3037840" cy="2486025"/>
            <wp:effectExtent l="0" t="0" r="10160" b="9525"/>
            <wp:docPr id="16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5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037840" cy="24860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tabs>
          <w:tab w:val="left" w:pos="673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640" w:firstLineChars="200"/>
        <w:jc w:val="both"/>
        <w:textAlignment w:val="auto"/>
        <w:outlineLvl w:val="9"/>
        <w:rPr>
          <w:rFonts w:hint="eastAsia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  <w:lang w:eastAsia="zh-CN"/>
        </w:rPr>
        <w:t>由于部分客户电脑安装</w:t>
      </w:r>
      <w:r>
        <w:rPr>
          <w:rFonts w:hint="eastAsia"/>
          <w:sz w:val="32"/>
          <w:szCs w:val="32"/>
          <w:lang w:val="en-US" w:eastAsia="zh-CN"/>
        </w:rPr>
        <w:t>360安全卫士或其他程序原因，阻止了USBkey驱动的自启动，导致客户号与登录名未</w:t>
      </w:r>
      <w:r>
        <w:rPr>
          <w:rFonts w:hint="eastAsia"/>
          <w:sz w:val="32"/>
          <w:szCs w:val="32"/>
          <w:lang w:eastAsia="zh-CN"/>
        </w:rPr>
        <w:t>显示。此种情况，请客户手动启动</w:t>
      </w:r>
      <w:r>
        <w:rPr>
          <w:rFonts w:hint="eastAsia"/>
          <w:sz w:val="32"/>
          <w:szCs w:val="32"/>
          <w:lang w:val="en-US" w:eastAsia="zh-CN"/>
        </w:rPr>
        <w:t>USBkey</w:t>
      </w:r>
      <w:r>
        <w:rPr>
          <w:rFonts w:hint="eastAsia"/>
          <w:sz w:val="32"/>
          <w:szCs w:val="32"/>
          <w:lang w:eastAsia="zh-CN"/>
        </w:rPr>
        <w:t>驱动，方法为：“开始菜单”→“所有程序”→“新疆汇和银行”→“海泰方圆”→“</w:t>
      </w:r>
      <w:r>
        <w:rPr>
          <w:rFonts w:hint="eastAsia"/>
          <w:sz w:val="32"/>
          <w:szCs w:val="32"/>
          <w:lang w:val="en-US" w:eastAsia="zh-CN"/>
        </w:rPr>
        <w:t>USBKEY管理工具</w:t>
      </w:r>
      <w:r>
        <w:rPr>
          <w:rFonts w:hint="eastAsia"/>
          <w:sz w:val="32"/>
          <w:szCs w:val="32"/>
          <w:lang w:eastAsia="zh-CN"/>
        </w:rPr>
        <w:t>”</w:t>
      </w:r>
    </w:p>
    <w:p>
      <w:pPr>
        <w:tabs>
          <w:tab w:val="left" w:pos="673"/>
        </w:tabs>
        <w:jc w:val="center"/>
        <w:rPr>
          <w:rFonts w:hint="eastAsia" w:eastAsiaTheme="minorEastAsia"/>
          <w:sz w:val="32"/>
          <w:szCs w:val="32"/>
          <w:lang w:val="en-US" w:eastAsia="zh-CN"/>
        </w:rPr>
      </w:pPr>
      <w:r>
        <w:rPr>
          <w:sz w:val="32"/>
          <w:szCs w:val="32"/>
        </w:rPr>
        <w:drawing>
          <wp:inline distT="0" distB="0" distL="114300" distR="114300">
            <wp:extent cx="2038350" cy="2656840"/>
            <wp:effectExtent l="0" t="0" r="0" b="10160"/>
            <wp:docPr id="17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6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038350" cy="26568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908935" cy="2943860"/>
            <wp:effectExtent l="0" t="0" r="5715" b="889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908935" cy="29438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8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B63438EB"/>
    <w:multiLevelType w:val="singleLevel"/>
    <w:tmpl w:val="B63438EB"/>
    <w:lvl w:ilvl="0" w:tentative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</w:abstractNum>
  <w:abstractNum w:abstractNumId="1">
    <w:nsid w:val="3A1CBC17"/>
    <w:multiLevelType w:val="singleLevel"/>
    <w:tmpl w:val="3A1CBC17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2EB768E"/>
    <w:rsid w:val="02EB768E"/>
    <w:rsid w:val="053754BE"/>
    <w:rsid w:val="0E031894"/>
    <w:rsid w:val="210245B8"/>
    <w:rsid w:val="25D71CDA"/>
    <w:rsid w:val="2ABA7B66"/>
    <w:rsid w:val="35312474"/>
    <w:rsid w:val="44773055"/>
    <w:rsid w:val="5DA04337"/>
  </w:rsids>
  <m:mathPr>
    <m:lMargin m:val="0"/>
    <m:mathFont m:val="Cambria Math"/>
    <m:rMargin m:val="0"/>
    <m:wrapIndent m:val="1440"/>
    <m:brkBin m:val="before"/>
    <m:brkBinSub m:val="--"/>
    <m:defJc m:val="centerGroup"/>
    <m:intLim m:val="subSup"/>
    <m:naryLim m:val="undOvr"/>
    <m:smallFrac m:val="0"/>
    <m:dispDef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1" Type="http://schemas.openxmlformats.org/officeDocument/2006/relationships/fontTable" Target="fontTable.xml"/><Relationship Id="rId20" Type="http://schemas.openxmlformats.org/officeDocument/2006/relationships/numbering" Target="numbering.xml"/><Relationship Id="rId2" Type="http://schemas.openxmlformats.org/officeDocument/2006/relationships/settings" Target="settings.xml"/><Relationship Id="rId19" Type="http://schemas.openxmlformats.org/officeDocument/2006/relationships/customXml" Target="../customXml/item1.xml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Office_10.8.0.5715_F1E327BC-269C-435d-A152-05C5408002CA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2018-02-09T09:11:00Z</dcterms:created>
  <dc:creator>"静止°相拥那一秒‖   </dc:creator>
  <cp:lastModifiedBy>樊明华</cp:lastModifiedBy>
  <dcterms:modified xsi:type="dcterms:W3CDTF">2018-02-09T10:47:05Z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2052-10.8.0.5715</vt:lpwstr>
  </property>
</Properties>
</file>