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numId w:val="0"/>
        </w:numPr>
        <w:tabs>
          <w:tab w:val="clear" w:pos="992"/>
        </w:tabs>
        <w:ind w:left="397" w:leftChars="0"/>
        <w:rPr>
          <w:rFonts w:hint="eastAsia"/>
          <w:sz w:val="44"/>
          <w:szCs w:val="44"/>
          <w:lang w:val="en-GB" w:eastAsia="zh-CN"/>
        </w:rPr>
      </w:pPr>
      <w:bookmarkStart w:id="0" w:name="_Toc31241"/>
      <w:r>
        <w:rPr>
          <w:rFonts w:hint="eastAsia"/>
          <w:sz w:val="44"/>
          <w:szCs w:val="44"/>
          <w:lang w:val="en-US" w:eastAsia="zh-CN"/>
        </w:rPr>
        <w:t>1.</w:t>
      </w:r>
      <w:r>
        <w:rPr>
          <w:rFonts w:hint="eastAsia"/>
          <w:sz w:val="44"/>
          <w:szCs w:val="44"/>
          <w:lang w:val="en-GB" w:eastAsia="zh-CN"/>
        </w:rPr>
        <w:t>网上银行</w:t>
      </w:r>
    </w:p>
    <w:p>
      <w:pPr>
        <w:pStyle w:val="2"/>
        <w:numPr>
          <w:ilvl w:val="1"/>
          <w:numId w:val="3"/>
        </w:numPr>
        <w:tabs>
          <w:tab w:val="clear" w:pos="992"/>
        </w:tabs>
        <w:ind w:left="850" w:leftChars="0" w:hanging="453" w:firstLineChars="0"/>
        <w:rPr>
          <w:rFonts w:hint="eastAsia"/>
          <w:lang w:val="en-GB" w:eastAsia="zh-CN"/>
        </w:rPr>
      </w:pPr>
      <w:r>
        <w:rPr>
          <w:rFonts w:hint="eastAsia"/>
          <w:lang w:val="en-GB" w:eastAsia="zh-CN"/>
        </w:rPr>
        <w:t>云</w:t>
      </w:r>
      <w:bookmarkStart w:id="11" w:name="_GoBack"/>
      <w:bookmarkEnd w:id="11"/>
      <w:r>
        <w:rPr>
          <w:rFonts w:hint="eastAsia"/>
          <w:lang w:val="en-GB" w:eastAsia="zh-CN"/>
        </w:rPr>
        <w:t>证通开通/关闭</w:t>
      </w:r>
      <w:bookmarkEnd w:id="0"/>
    </w:p>
    <w:p>
      <w:pPr>
        <w:pStyle w:val="4"/>
        <w:numPr>
          <w:ilvl w:val="2"/>
          <w:numId w:val="3"/>
        </w:numPr>
        <w:tabs>
          <w:tab w:val="clear" w:pos="1418"/>
        </w:tabs>
        <w:ind w:left="1508" w:leftChars="0" w:hanging="708" w:firstLineChars="0"/>
        <w:rPr>
          <w:rFonts w:hint="eastAsia"/>
          <w:lang w:val="en-GB"/>
        </w:rPr>
      </w:pPr>
      <w:bookmarkStart w:id="1" w:name="_Toc19847"/>
      <w:r>
        <w:rPr>
          <w:rFonts w:hint="eastAsia"/>
          <w:lang w:val="en-GB"/>
        </w:rPr>
        <w:t>功能描述</w:t>
      </w:r>
      <w:bookmarkEnd w:id="1"/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用户可开通和关闭客户移动银行云证通安全认证方式</w:t>
      </w:r>
    </w:p>
    <w:p>
      <w:pPr>
        <w:pStyle w:val="4"/>
        <w:numPr>
          <w:ilvl w:val="2"/>
          <w:numId w:val="3"/>
        </w:numPr>
        <w:tabs>
          <w:tab w:val="clear" w:pos="1418"/>
        </w:tabs>
        <w:ind w:left="1508" w:leftChars="0" w:hanging="708" w:firstLineChars="0"/>
        <w:rPr>
          <w:rFonts w:hint="eastAsia"/>
          <w:lang w:val="en-GB"/>
        </w:rPr>
      </w:pPr>
      <w:bookmarkStart w:id="2" w:name="_Toc27624"/>
      <w:r>
        <w:rPr>
          <w:rFonts w:hint="eastAsia"/>
          <w:lang w:val="en-GB"/>
        </w:rPr>
        <w:t>用户范围</w:t>
      </w:r>
      <w:bookmarkEnd w:id="2"/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个人客户</w:t>
      </w:r>
    </w:p>
    <w:p>
      <w:pPr>
        <w:pStyle w:val="4"/>
        <w:numPr>
          <w:ilvl w:val="2"/>
          <w:numId w:val="3"/>
        </w:numPr>
        <w:tabs>
          <w:tab w:val="clear" w:pos="1418"/>
        </w:tabs>
        <w:ind w:left="1508" w:leftChars="0" w:hanging="708" w:firstLineChars="0"/>
        <w:rPr>
          <w:rFonts w:hint="eastAsia"/>
          <w:lang w:val="en-GB"/>
        </w:rPr>
      </w:pPr>
      <w:bookmarkStart w:id="3" w:name="_Toc3813"/>
      <w:r>
        <w:rPr>
          <w:rFonts w:hint="eastAsia"/>
          <w:lang w:val="en-GB"/>
        </w:rPr>
        <w:t>操作步骤</w:t>
      </w:r>
      <w:bookmarkEnd w:id="3"/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1、在“网银管理”菜单下，点击“云证开通/关闭”菜单，进入云证通开通/关闭页面，如果未开通云证通，则可进行开通云证通操作：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273675" cy="3491865"/>
            <wp:effectExtent l="0" t="0" r="3175" b="133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9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adjustRightInd/>
        <w:snapToGrid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点击“云证通开通/关闭”菜单时，如未开通移动银行，则提示“您尚未开通移动银行，请先开通移动跟银行” ；如已开通移动银行，未设置PIN码，则提示“您尚未设置PIN码，请先设置PIN码”。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2、录入信息，勾选协议，点击“开通”按钮，进入云证通开通确认页面：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271770" cy="3078480"/>
            <wp:effectExtent l="0" t="0" r="5080" b="762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firstLine="48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确认录入信息无误时，点击“确定”按钮，云证通开通成功。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4851400" cy="3905250"/>
            <wp:effectExtent l="0" t="0" r="6350" b="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1400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firstLine="48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如已开通云证通，可进行云证通关闭操作：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276215" cy="3790315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379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firstLine="48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录入信息，点击“关闭“按钮，进入云证通关闭确认页面：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273040" cy="3623310"/>
            <wp:effectExtent l="0" t="0" r="3810" b="1524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2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8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6、确认页面信息无误，点击“确定“按钮，云证通关闭成功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273040" cy="4379595"/>
            <wp:effectExtent l="0" t="0" r="3810" b="1905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37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1"/>
          <w:numId w:val="3"/>
        </w:numPr>
        <w:tabs>
          <w:tab w:val="clear" w:pos="992"/>
        </w:tabs>
        <w:ind w:left="850" w:leftChars="0" w:hanging="453" w:firstLineChars="0"/>
        <w:rPr>
          <w:rFonts w:hint="eastAsia"/>
          <w:lang w:val="en-GB" w:eastAsia="zh-CN"/>
        </w:rPr>
      </w:pPr>
      <w:bookmarkStart w:id="4" w:name="_Toc16975"/>
      <w:r>
        <w:rPr>
          <w:rFonts w:hint="eastAsia"/>
          <w:lang w:val="en-GB" w:eastAsia="zh-CN"/>
        </w:rPr>
        <w:t>云证通授权码</w:t>
      </w:r>
      <w:bookmarkEnd w:id="4"/>
      <w:r>
        <w:rPr>
          <w:rFonts w:hint="eastAsia"/>
          <w:lang w:val="en-GB" w:eastAsia="zh-CN"/>
        </w:rPr>
        <w:t>申请</w:t>
      </w:r>
    </w:p>
    <w:p>
      <w:pPr>
        <w:pStyle w:val="4"/>
        <w:numPr>
          <w:ilvl w:val="2"/>
          <w:numId w:val="3"/>
        </w:numPr>
        <w:tabs>
          <w:tab w:val="clear" w:pos="1418"/>
        </w:tabs>
        <w:ind w:left="1508" w:leftChars="0" w:hanging="708" w:firstLineChars="0"/>
        <w:rPr>
          <w:rFonts w:hint="eastAsia"/>
          <w:lang w:val="en-GB"/>
        </w:rPr>
      </w:pPr>
      <w:bookmarkStart w:id="5" w:name="_Toc14452"/>
      <w:r>
        <w:rPr>
          <w:rFonts w:hint="eastAsia"/>
          <w:lang w:val="en-GB"/>
        </w:rPr>
        <w:t>功能描述</w:t>
      </w:r>
      <w:bookmarkEnd w:id="5"/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客户可通过该交易申请云证通证书下载授权码，用于云证通证书下载使用。</w:t>
      </w:r>
    </w:p>
    <w:p>
      <w:pPr>
        <w:pStyle w:val="4"/>
        <w:numPr>
          <w:ilvl w:val="2"/>
          <w:numId w:val="3"/>
        </w:numPr>
        <w:tabs>
          <w:tab w:val="clear" w:pos="1418"/>
        </w:tabs>
        <w:ind w:left="1508" w:leftChars="0" w:hanging="708" w:firstLineChars="0"/>
        <w:rPr>
          <w:rFonts w:hint="eastAsia"/>
          <w:lang w:val="en-GB"/>
        </w:rPr>
      </w:pPr>
      <w:bookmarkStart w:id="6" w:name="_Toc425"/>
      <w:r>
        <w:rPr>
          <w:rFonts w:hint="eastAsia"/>
          <w:lang w:val="en-GB"/>
        </w:rPr>
        <w:t>用户范围</w:t>
      </w:r>
      <w:bookmarkEnd w:id="6"/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个人客户</w:t>
      </w:r>
    </w:p>
    <w:p>
      <w:pPr>
        <w:pStyle w:val="4"/>
        <w:numPr>
          <w:ilvl w:val="2"/>
          <w:numId w:val="3"/>
        </w:numPr>
        <w:tabs>
          <w:tab w:val="clear" w:pos="1418"/>
        </w:tabs>
        <w:ind w:left="1508" w:leftChars="0" w:hanging="708" w:firstLineChars="0"/>
        <w:rPr>
          <w:rFonts w:hint="eastAsia"/>
          <w:lang w:val="en-GB"/>
        </w:rPr>
      </w:pPr>
      <w:bookmarkStart w:id="7" w:name="_Toc25805"/>
      <w:r>
        <w:rPr>
          <w:rFonts w:hint="eastAsia"/>
          <w:lang w:val="en-GB"/>
        </w:rPr>
        <w:t>操作步骤</w:t>
      </w:r>
      <w:bookmarkEnd w:id="7"/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1、在“网银管理”菜单下，点击“云证通授权申请”菜单，进入授权申请页面。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276215" cy="2778760"/>
            <wp:effectExtent l="0" t="0" r="63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277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adjustRightInd/>
        <w:snapToGrid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点击“云证通授权码申请”菜单时，如未开通移动银行，则提示“您尚未开通移动银行，请先开通移动跟银行” ；如已开通移动银行，未开通云证通，则提示“您尚未开通云证通，请先开通云证通”。</w:t>
      </w:r>
    </w:p>
    <w:p>
      <w:pPr>
        <w:numPr>
          <w:ilvl w:val="0"/>
          <w:numId w:val="4"/>
        </w:numPr>
        <w:adjustRightInd/>
        <w:snapToGrid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授权码每天最多允许成功申请6次，如已成功申请6次则再次申请时提示“您今天申请授权码超过6次，请您联系开户行或明天再申请”</w:t>
      </w:r>
    </w:p>
    <w:p>
      <w:pPr>
        <w:adjustRightInd/>
        <w:snapToGrid/>
        <w:ind w:left="42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2、点击“确定”按钮，云证通授权申请成功。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5273040" cy="4352925"/>
            <wp:effectExtent l="0" t="0" r="3810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35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adjustRightInd/>
        <w:snapToGrid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授权码为6位数字，且有效期为申请后24个小时内有效，过期需重新申请。</w:t>
      </w:r>
    </w:p>
    <w:p>
      <w:pPr>
        <w:numPr>
          <w:ilvl w:val="0"/>
          <w:numId w:val="4"/>
        </w:numPr>
        <w:adjustRightInd/>
        <w:snapToGrid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授权码申请成功后需要在移动银行中进行下载并设置认证方式。</w:t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pStyle w:val="2"/>
        <w:numPr>
          <w:ilvl w:val="1"/>
          <w:numId w:val="0"/>
        </w:numPr>
        <w:tabs>
          <w:tab w:val="clear" w:pos="992"/>
        </w:tabs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sz w:val="44"/>
          <w:szCs w:val="44"/>
          <w:lang w:val="en-US" w:eastAsia="zh-CN"/>
        </w:rPr>
        <w:t>2.移动</w:t>
      </w:r>
      <w:r>
        <w:rPr>
          <w:rFonts w:hint="eastAsia"/>
          <w:sz w:val="44"/>
          <w:szCs w:val="44"/>
          <w:lang w:val="en-GB" w:eastAsia="zh-CN"/>
        </w:rPr>
        <w:t>银行</w:t>
      </w:r>
    </w:p>
    <w:p>
      <w:pPr>
        <w:pStyle w:val="2"/>
        <w:numPr>
          <w:ilvl w:val="1"/>
          <w:numId w:val="6"/>
        </w:numPr>
        <w:tabs>
          <w:tab w:val="clear" w:pos="992"/>
        </w:tabs>
        <w:ind w:left="850" w:leftChars="0" w:hanging="453" w:firstLineChars="0"/>
        <w:rPr>
          <w:rFonts w:hint="eastAsia"/>
          <w:lang w:val="en-GB" w:eastAsia="zh-CN"/>
        </w:rPr>
      </w:pPr>
      <w:bookmarkStart w:id="8" w:name="_Toc15121"/>
      <w:r>
        <w:rPr>
          <w:rFonts w:hint="eastAsia"/>
          <w:lang w:val="en-GB" w:eastAsia="zh-CN"/>
        </w:rPr>
        <w:t>云证通证书管理</w:t>
      </w:r>
      <w:bookmarkEnd w:id="8"/>
    </w:p>
    <w:p>
      <w:pPr>
        <w:pStyle w:val="4"/>
        <w:numPr>
          <w:ilvl w:val="2"/>
          <w:numId w:val="7"/>
        </w:numPr>
        <w:tabs>
          <w:tab w:val="clear" w:pos="1418"/>
        </w:tabs>
        <w:ind w:left="1508" w:leftChars="0" w:hanging="708" w:firstLineChars="0"/>
        <w:rPr>
          <w:rFonts w:hint="eastAsia"/>
          <w:lang w:val="en-GB" w:eastAsia="zh-CN"/>
        </w:rPr>
      </w:pPr>
      <w:r>
        <w:rPr>
          <w:rFonts w:hint="eastAsia"/>
          <w:lang w:val="en-GB" w:eastAsia="zh-CN"/>
        </w:rPr>
        <w:t>功能描述</w:t>
      </w:r>
    </w:p>
    <w:p>
      <w:pPr>
        <w:ind w:left="315" w:leftChars="15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客户可通过该交易查询下载云证通证书。</w:t>
      </w:r>
    </w:p>
    <w:p>
      <w:pPr>
        <w:pStyle w:val="4"/>
        <w:numPr>
          <w:ilvl w:val="2"/>
          <w:numId w:val="7"/>
        </w:numPr>
        <w:tabs>
          <w:tab w:val="clear" w:pos="1418"/>
        </w:tabs>
        <w:ind w:left="1508" w:leftChars="0" w:hanging="708" w:firstLineChars="0"/>
        <w:rPr>
          <w:rFonts w:hint="eastAsia"/>
          <w:lang w:val="en-GB" w:eastAsia="zh-CN"/>
        </w:rPr>
      </w:pPr>
      <w:r>
        <w:rPr>
          <w:rFonts w:hint="eastAsia"/>
          <w:lang w:val="en-GB" w:eastAsia="zh-CN"/>
        </w:rPr>
        <w:t>用户范围</w:t>
      </w:r>
    </w:p>
    <w:p>
      <w:pPr>
        <w:ind w:left="315" w:leftChars="15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二代移动银行客户</w:t>
      </w:r>
    </w:p>
    <w:p>
      <w:pPr>
        <w:pStyle w:val="4"/>
        <w:numPr>
          <w:ilvl w:val="2"/>
          <w:numId w:val="7"/>
        </w:numPr>
        <w:tabs>
          <w:tab w:val="clear" w:pos="1418"/>
        </w:tabs>
        <w:ind w:left="1508" w:leftChars="0" w:hanging="708" w:firstLineChars="0"/>
        <w:rPr>
          <w:rFonts w:hint="eastAsia"/>
          <w:lang w:val="en-GB" w:eastAsia="zh-CN"/>
        </w:rPr>
      </w:pPr>
      <w:r>
        <w:rPr>
          <w:rFonts w:hint="eastAsia"/>
          <w:lang w:val="en-GB" w:eastAsia="zh-CN"/>
        </w:rPr>
        <w:t>操作步骤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1、在“安全管理”菜单下，点击“云证通证书管理”菜单，进入云证通证书管理页面。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3556000" cy="3933825"/>
            <wp:effectExtent l="0" t="0" r="6350" b="952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2、点击“云证通证书管理”菜单进入云证书查询结果页面，如果客户当前设备已下载过云证通证书，则直接查询出客户证书信息，如下图：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3550920" cy="4602480"/>
            <wp:effectExtent l="0" t="0" r="11430" b="7620"/>
            <wp:docPr id="1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50920" cy="460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3、云证书查询结果页面，如果当前设备未下载过云证通证书，则可进行云证通证书下载。如下图：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3559175" cy="4287520"/>
            <wp:effectExtent l="0" t="0" r="3175" b="17780"/>
            <wp:docPr id="9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59175" cy="428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4、当前设备未下载证书时，点击页面“添加云证通证书”按钮，进入云证通证书下载页面，授权码最大允许输入6位数字。当管理端未维护下载页面温馨提示时，则默认显示截图中的温馨提示。如下图：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3714750" cy="4161790"/>
            <wp:effectExtent l="0" t="0" r="0" b="10160"/>
            <wp:docPr id="1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16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4、证书下载录入页面，输入授权码后，点击‘下载’按钮进行证书下载，下载成功后进入下载结果页面。如下图：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3287395" cy="4298315"/>
            <wp:effectExtent l="0" t="0" r="8255" b="6985"/>
            <wp:docPr id="1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87395" cy="429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ab/>
      </w:r>
      <w:r>
        <w:rPr>
          <w:rFonts w:hint="eastAsia" w:ascii="仿宋_GB2312" w:hAnsi="仿宋_GB2312" w:eastAsia="仿宋_GB2312" w:cs="仿宋_GB2312"/>
          <w:sz w:val="28"/>
          <w:szCs w:val="28"/>
        </w:rPr>
        <w:t>5、云证书查询结果页面，点击“什么是云证书？”链接，进入云证通说明页面，页面显示内容如截图中内容。如下图：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3594100" cy="5321300"/>
            <wp:effectExtent l="0" t="0" r="6350" b="12700"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532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1"/>
          <w:numId w:val="6"/>
        </w:numPr>
        <w:tabs>
          <w:tab w:val="clear" w:pos="992"/>
        </w:tabs>
        <w:ind w:left="850" w:leftChars="0" w:hanging="453" w:firstLineChars="0"/>
        <w:rPr>
          <w:rFonts w:hint="eastAsia"/>
          <w:lang w:val="en-GB" w:eastAsia="zh-CN"/>
        </w:rPr>
      </w:pPr>
      <w:bookmarkStart w:id="9" w:name="_Toc634"/>
      <w:r>
        <w:rPr>
          <w:rFonts w:hint="eastAsia"/>
          <w:lang w:val="en-GB" w:eastAsia="zh-CN"/>
        </w:rPr>
        <w:t>云证通认证</w:t>
      </w:r>
      <w:bookmarkEnd w:id="9"/>
    </w:p>
    <w:p>
      <w:pPr>
        <w:pStyle w:val="4"/>
        <w:numPr>
          <w:numId w:val="0"/>
        </w:numPr>
        <w:tabs>
          <w:tab w:val="clear" w:pos="1418"/>
        </w:tabs>
        <w:ind w:left="800" w:leftChars="0"/>
        <w:rPr>
          <w:rFonts w:hint="eastAsia"/>
          <w:lang w:val="en-GB" w:eastAsia="zh-CN"/>
        </w:rPr>
      </w:pPr>
      <w:r>
        <w:rPr>
          <w:rFonts w:hint="eastAsia"/>
          <w:lang w:val="en-US" w:eastAsia="zh-CN"/>
        </w:rPr>
        <w:t>2.2.1</w:t>
      </w:r>
      <w:r>
        <w:rPr>
          <w:rFonts w:hint="eastAsia"/>
          <w:lang w:val="en-GB" w:eastAsia="zh-CN"/>
        </w:rPr>
        <w:t>功能描述</w:t>
      </w:r>
    </w:p>
    <w:p>
      <w:pPr>
        <w:ind w:left="315" w:leftChars="15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客户可选择包括云证通在内的安全认证方式。</w:t>
      </w:r>
    </w:p>
    <w:p>
      <w:pPr>
        <w:pStyle w:val="4"/>
        <w:numPr>
          <w:ilvl w:val="2"/>
          <w:numId w:val="0"/>
        </w:numPr>
        <w:tabs>
          <w:tab w:val="clear" w:pos="1418"/>
        </w:tabs>
        <w:ind w:left="80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2.2.2用户范围</w:t>
      </w:r>
    </w:p>
    <w:p>
      <w:pPr>
        <w:ind w:left="315" w:leftChars="15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二代移动银行客户</w:t>
      </w:r>
    </w:p>
    <w:p>
      <w:pPr>
        <w:ind w:left="315" w:leftChars="150" w:firstLine="560" w:firstLineChars="2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2.2.3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操作步骤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1、客户点击二代个人移动银行-安全管理-认证方式设置进入安全认证方式设置页面：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4247515" cy="2438400"/>
            <wp:effectExtent l="0" t="0" r="635" b="0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4751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1"/>
          <w:numId w:val="6"/>
        </w:numPr>
        <w:tabs>
          <w:tab w:val="clear" w:pos="992"/>
        </w:tabs>
        <w:ind w:left="850" w:leftChars="0" w:hanging="453" w:firstLineChars="0"/>
        <w:rPr>
          <w:rFonts w:hint="eastAsia"/>
          <w:lang w:val="en-GB" w:eastAsia="zh-CN"/>
        </w:rPr>
      </w:pPr>
      <w:bookmarkStart w:id="10" w:name="_Toc983"/>
      <w:r>
        <w:rPr>
          <w:rFonts w:hint="eastAsia"/>
          <w:lang w:val="en-GB" w:eastAsia="zh-CN"/>
        </w:rPr>
        <w:t>交易中使用云证通安全认证</w:t>
      </w:r>
      <w:bookmarkEnd w:id="10"/>
    </w:p>
    <w:p>
      <w:pPr>
        <w:pStyle w:val="5"/>
        <w:keepNext/>
        <w:keepLines/>
        <w:pageBreakBefore w:val="0"/>
        <w:widowControl w:val="0"/>
        <w:numPr>
          <w:numId w:val="0"/>
        </w:numPr>
        <w:tabs>
          <w:tab w:val="clear" w:pos="16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560" w:firstLineChars="200"/>
        <w:jc w:val="both"/>
        <w:textAlignment w:val="auto"/>
        <w:outlineLvl w:val="3"/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en-US" w:eastAsia="zh-CN" w:bidi="ar-SA"/>
        </w:rPr>
        <w:t>2.3.1功能描述</w:t>
      </w:r>
    </w:p>
    <w:p>
      <w:pPr>
        <w:ind w:left="315" w:leftChars="150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客户在做移动银行交易时使用云证通安全认证方式。</w:t>
      </w:r>
    </w:p>
    <w:p>
      <w:pPr>
        <w:pStyle w:val="5"/>
        <w:keepNext/>
        <w:keepLines/>
        <w:pageBreakBefore w:val="0"/>
        <w:widowControl w:val="0"/>
        <w:numPr>
          <w:ilvl w:val="3"/>
          <w:numId w:val="0"/>
        </w:numPr>
        <w:tabs>
          <w:tab w:val="clear" w:pos="16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560" w:firstLineChars="200"/>
        <w:jc w:val="both"/>
        <w:textAlignment w:val="auto"/>
        <w:outlineLvl w:val="3"/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zh-CN" w:eastAsia="zh-CN" w:bidi="ar-SA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en-US" w:eastAsia="zh-CN" w:bidi="ar-SA"/>
        </w:rPr>
        <w:t>2.3.2</w:t>
      </w:r>
      <w:r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zh-CN" w:eastAsia="zh-CN" w:bidi="ar-SA"/>
        </w:rPr>
        <w:t>用户范围</w:t>
      </w:r>
    </w:p>
    <w:p>
      <w:pPr>
        <w:ind w:left="315" w:leftChars="150" w:firstLine="560" w:firstLineChars="200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  <w:t>二代移动银行客户</w:t>
      </w:r>
    </w:p>
    <w:p>
      <w:pPr>
        <w:pStyle w:val="5"/>
        <w:keepNext/>
        <w:keepLines/>
        <w:pageBreakBefore w:val="0"/>
        <w:widowControl w:val="0"/>
        <w:numPr>
          <w:ilvl w:val="3"/>
          <w:numId w:val="0"/>
        </w:numPr>
        <w:tabs>
          <w:tab w:val="clear" w:pos="16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ind w:leftChars="0" w:firstLine="560" w:firstLineChars="200"/>
        <w:jc w:val="both"/>
        <w:textAlignment w:val="auto"/>
        <w:outlineLvl w:val="3"/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zh-CN" w:eastAsia="zh-CN" w:bidi="ar-SA"/>
        </w:rPr>
      </w:pPr>
      <w:r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en-US" w:eastAsia="zh-CN" w:bidi="ar-SA"/>
        </w:rPr>
        <w:t>2.3.3</w:t>
      </w:r>
      <w:r>
        <w:rPr>
          <w:rFonts w:hint="eastAsia" w:ascii="仿宋_GB2312" w:hAnsi="仿宋_GB2312" w:eastAsia="仿宋_GB2312" w:cs="Times New Roman"/>
          <w:color w:val="auto"/>
          <w:kern w:val="2"/>
          <w:sz w:val="28"/>
          <w:szCs w:val="22"/>
          <w:lang w:val="zh-CN" w:eastAsia="zh-CN" w:bidi="ar-SA"/>
        </w:rPr>
        <w:t>操作步骤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1、在二代个人移动银行所有需要进行安全认证的交易中，当客户的安全认证方式设置为“云证通”时，则交易确认页面安全认证方式显示为“云证通”，以向本行转账为例，如下图：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drawing>
          <wp:inline distT="0" distB="0" distL="114300" distR="114300">
            <wp:extent cx="3456940" cy="5800090"/>
            <wp:effectExtent l="0" t="0" r="10160" b="10160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56940" cy="580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A0B6AF"/>
    <w:multiLevelType w:val="multilevel"/>
    <w:tmpl w:val="8AA0B6A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tabs>
          <w:tab w:val="left" w:pos="850"/>
        </w:tabs>
        <w:ind w:left="850" w:hanging="453"/>
      </w:pPr>
      <w:rPr>
        <w:rFonts w:hint="default" w:ascii="宋体" w:hAnsi="宋体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1508"/>
        </w:tabs>
        <w:ind w:left="1508" w:hanging="708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tabs>
          <w:tab w:val="left" w:pos="2053"/>
        </w:tabs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2495"/>
        </w:tabs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3136"/>
        </w:tabs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73"/>
        </w:tabs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4218"/>
        </w:tabs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48"/>
        </w:tabs>
        <w:ind w:left="4648" w:hanging="1448"/>
      </w:pPr>
      <w:rPr>
        <w:rFonts w:hint="default"/>
      </w:rPr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lang w:val="en-US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1660"/>
        </w:tabs>
        <w:ind w:left="1660" w:hanging="864"/>
      </w:pPr>
      <w:rPr>
        <w:rFonts w:hint="eastAsia" w:ascii="楷体_GB2312" w:eastAsia="楷体_GB2312"/>
        <w:lang w:val="en-US"/>
      </w:rPr>
    </w:lvl>
    <w:lvl w:ilvl="4" w:tentative="0">
      <w:start w:val="1"/>
      <w:numFmt w:val="decimal"/>
      <w:lvlText w:val="%1.%2.%3.%4.%5"/>
      <w:lvlJc w:val="left"/>
      <w:pPr>
        <w:tabs>
          <w:tab w:val="left" w:pos="1984"/>
        </w:tabs>
        <w:ind w:left="1984" w:hanging="1008"/>
      </w:pPr>
      <w:rPr>
        <w:rFonts w:hint="eastAsia"/>
        <w:b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0000000F"/>
    <w:multiLevelType w:val="multilevel"/>
    <w:tmpl w:val="0000000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0117C2AF"/>
    <w:multiLevelType w:val="multilevel"/>
    <w:tmpl w:val="0117C2AF"/>
    <w:lvl w:ilvl="0" w:tentative="0">
      <w:start w:val="2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tabs>
          <w:tab w:val="left" w:pos="850"/>
        </w:tabs>
        <w:ind w:left="850" w:hanging="453"/>
      </w:pPr>
      <w:rPr>
        <w:rFonts w:hint="default" w:ascii="宋体" w:hAnsi="宋体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1508"/>
        </w:tabs>
        <w:ind w:left="1508" w:hanging="708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tabs>
          <w:tab w:val="left" w:pos="2053"/>
        </w:tabs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2495"/>
        </w:tabs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3136"/>
        </w:tabs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73"/>
        </w:tabs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4218"/>
        </w:tabs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48"/>
        </w:tabs>
        <w:ind w:left="4648" w:hanging="1448"/>
      </w:pPr>
      <w:rPr>
        <w:rFonts w:hint="default"/>
      </w:rPr>
    </w:lvl>
  </w:abstractNum>
  <w:abstractNum w:abstractNumId="4">
    <w:nsid w:val="2B59BC02"/>
    <w:multiLevelType w:val="multilevel"/>
    <w:tmpl w:val="2B59BC02"/>
    <w:lvl w:ilvl="0" w:tentative="0">
      <w:start w:val="2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tabs>
          <w:tab w:val="left" w:pos="850"/>
        </w:tabs>
        <w:ind w:left="850" w:hanging="453"/>
      </w:pPr>
      <w:rPr>
        <w:rFonts w:hint="default" w:ascii="宋体" w:hAnsi="宋体" w:eastAsia="宋体" w:cs="宋体"/>
      </w:rPr>
    </w:lvl>
    <w:lvl w:ilvl="2" w:tentative="0">
      <w:start w:val="1"/>
      <w:numFmt w:val="decimal"/>
      <w:lvlText w:val="%1.%2.%3."/>
      <w:lvlJc w:val="left"/>
      <w:pPr>
        <w:tabs>
          <w:tab w:val="left" w:pos="1508"/>
        </w:tabs>
        <w:ind w:left="1508" w:hanging="708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tabs>
          <w:tab w:val="left" w:pos="2053"/>
        </w:tabs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tabs>
          <w:tab w:val="left" w:pos="2495"/>
        </w:tabs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3136"/>
        </w:tabs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73"/>
        </w:tabs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4218"/>
        </w:tabs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48"/>
        </w:tabs>
        <w:ind w:left="4648" w:hanging="1448"/>
      </w:pPr>
      <w:rPr>
        <w:rFonts w:hint="default"/>
      </w:rPr>
    </w:lvl>
  </w:abstractNum>
  <w:abstractNum w:abstractNumId="5">
    <w:nsid w:val="54800D77"/>
    <w:multiLevelType w:val="singleLevel"/>
    <w:tmpl w:val="54800D77"/>
    <w:lvl w:ilvl="0" w:tentative="0">
      <w:start w:val="2"/>
      <w:numFmt w:val="decimal"/>
      <w:suff w:val="nothing"/>
      <w:lvlText w:val="%1、"/>
      <w:lvlJc w:val="left"/>
    </w:lvl>
  </w:abstractNum>
  <w:abstractNum w:abstractNumId="6">
    <w:nsid w:val="576D9C43"/>
    <w:multiLevelType w:val="multilevel"/>
    <w:tmpl w:val="576D9C43"/>
    <w:lvl w:ilvl="0" w:tentative="0">
      <w:start w:val="2"/>
      <w:numFmt w:val="decimal"/>
      <w:lvlText w:val="%1."/>
      <w:lvlJc w:val="left"/>
      <w:pPr>
        <w:tabs>
          <w:tab w:val="left" w:pos="432"/>
        </w:tabs>
        <w:ind w:left="432" w:hanging="432"/>
      </w:pPr>
      <w:rPr>
        <w:rFonts w:hint="default" w:ascii="宋体" w:hAnsi="宋体" w:eastAsia="宋体" w:cs="宋体"/>
      </w:rPr>
    </w:lvl>
    <w:lvl w:ilvl="1" w:tentative="0">
      <w:start w:val="7"/>
      <w:numFmt w:val="decimal"/>
      <w:pStyle w:val="2"/>
      <w:lvlText w:val="%1.%2."/>
      <w:lvlJc w:val="left"/>
      <w:pPr>
        <w:tabs>
          <w:tab w:val="left" w:pos="575"/>
        </w:tabs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720"/>
        </w:tabs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Text w:val="%1.%2.%3.%4."/>
      <w:lvlJc w:val="left"/>
      <w:pPr>
        <w:tabs>
          <w:tab w:val="left" w:pos="864"/>
        </w:tabs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tabs>
          <w:tab w:val="left" w:pos="1151"/>
        </w:tabs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83"/>
        </w:tabs>
        <w:ind w:left="1583" w:hanging="1583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31D95"/>
    <w:rsid w:val="406675CA"/>
    <w:rsid w:val="4543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numPr>
        <w:ilvl w:val="1"/>
        <w:numId w:val="1"/>
      </w:numPr>
      <w:tabs>
        <w:tab w:val="left" w:pos="992"/>
      </w:tabs>
      <w:spacing w:line="360" w:lineRule="auto"/>
      <w:ind w:left="575" w:hanging="575"/>
      <w:jc w:val="left"/>
      <w:outlineLvl w:val="1"/>
    </w:pPr>
    <w:rPr>
      <w:rFonts w:eastAsia="仿宋_GB2312"/>
      <w:b/>
      <w:sz w:val="28"/>
    </w:rPr>
  </w:style>
  <w:style w:type="paragraph" w:styleId="4">
    <w:name w:val="heading 3"/>
    <w:basedOn w:val="1"/>
    <w:next w:val="3"/>
    <w:qFormat/>
    <w:uiPriority w:val="0"/>
    <w:pPr>
      <w:keepNext/>
      <w:keepLines/>
      <w:numPr>
        <w:ilvl w:val="2"/>
        <w:numId w:val="1"/>
      </w:numPr>
      <w:tabs>
        <w:tab w:val="left" w:pos="1418"/>
      </w:tabs>
      <w:spacing w:line="360" w:lineRule="auto"/>
      <w:ind w:left="720" w:hanging="720"/>
      <w:jc w:val="left"/>
      <w:outlineLvl w:val="2"/>
    </w:pPr>
    <w:rPr>
      <w:rFonts w:ascii="仿宋_GB2312" w:hAnsi="仿宋_GB2312" w:eastAsia="仿宋_GB2312"/>
      <w:color w:val="auto"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2"/>
      </w:numPr>
      <w:spacing w:line="360" w:lineRule="auto"/>
      <w:jc w:val="left"/>
      <w:outlineLvl w:val="3"/>
    </w:pPr>
    <w:rPr>
      <w:rFonts w:ascii="Tahoma" w:hAnsi="Tahoma" w:eastAsia="仿宋_GB2312"/>
      <w:sz w:val="28"/>
      <w:szCs w:val="28"/>
      <w:lang w:val="zh-CN" w:eastAsia="zh-CN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  <w:rPr>
      <w:rFonts w:eastAsia="宋体"/>
      <w:kern w:val="2"/>
      <w:sz w:val="21"/>
      <w:lang w:val="en-US" w:eastAsia="zh-CN"/>
    </w:rPr>
  </w:style>
  <w:style w:type="paragraph" w:customStyle="1" w:styleId="8">
    <w:name w:val="样式 标题 3H3H31H32H33H34H35H36H37H38H39H310H311H321H3..."/>
    <w:basedOn w:val="4"/>
    <w:qFormat/>
    <w:uiPriority w:val="0"/>
    <w:pPr>
      <w:tabs>
        <w:tab w:val="clear" w:pos="1418"/>
      </w:tabs>
      <w:spacing w:before="156" w:beforeLines="0"/>
      <w:jc w:val="both"/>
    </w:pPr>
    <w:rPr>
      <w:rFonts w:hAnsi="Tahoma" w:eastAsia="仿宋_GB2312" w:cs="宋体"/>
      <w:color w:val="000000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2020-12-07T03:07:00Z</dcterms:created>
  <dc:creator>hpp</dc:creator>
  <cp:lastModifiedBy>hpp</cp:lastModifiedBy>
  <dcterms:modified xsi:type="dcterms:W3CDTF">2020-12-07T03:18:45Z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